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6CF" w:rsidRDefault="001966CF" w:rsidP="002A27E7">
      <w:pPr>
        <w:spacing w:line="480" w:lineRule="auto"/>
        <w:rPr>
          <w:rFonts w:ascii="Times New Roman" w:hAnsi="Times New Roman" w:cs="Times New Roman"/>
          <w:sz w:val="24"/>
          <w:szCs w:val="24"/>
        </w:rPr>
      </w:pPr>
    </w:p>
    <w:p w:rsidR="002A27E7" w:rsidRDefault="002A27E7" w:rsidP="002A27E7">
      <w:pPr>
        <w:spacing w:line="360" w:lineRule="auto"/>
        <w:jc w:val="center"/>
        <w:rPr>
          <w:rFonts w:ascii="Times New Roman" w:hAnsi="Times New Roman" w:cs="Times New Roman"/>
          <w:sz w:val="24"/>
          <w:szCs w:val="24"/>
          <w:shd w:val="clear" w:color="auto" w:fill="FFFFFF"/>
        </w:rPr>
      </w:pPr>
    </w:p>
    <w:p w:rsidR="002A27E7" w:rsidRDefault="002A27E7" w:rsidP="002A27E7">
      <w:pPr>
        <w:spacing w:line="360" w:lineRule="auto"/>
        <w:jc w:val="center"/>
        <w:rPr>
          <w:rFonts w:ascii="Times New Roman" w:hAnsi="Times New Roman" w:cs="Times New Roman"/>
          <w:sz w:val="24"/>
          <w:szCs w:val="24"/>
          <w:shd w:val="clear" w:color="auto" w:fill="FFFFFF"/>
        </w:rPr>
      </w:pPr>
    </w:p>
    <w:p w:rsidR="003B41BD" w:rsidRDefault="003B41BD" w:rsidP="002A27E7">
      <w:pPr>
        <w:spacing w:line="360" w:lineRule="auto"/>
        <w:jc w:val="center"/>
        <w:rPr>
          <w:rFonts w:ascii="Times New Roman" w:hAnsi="Times New Roman" w:cs="Times New Roman"/>
          <w:sz w:val="24"/>
          <w:szCs w:val="24"/>
          <w:shd w:val="clear" w:color="auto" w:fill="FFFFFF"/>
        </w:rPr>
      </w:pPr>
    </w:p>
    <w:p w:rsidR="003B41BD" w:rsidRDefault="003B41BD" w:rsidP="002A27E7">
      <w:pPr>
        <w:spacing w:line="360" w:lineRule="auto"/>
        <w:jc w:val="center"/>
        <w:rPr>
          <w:rFonts w:ascii="Times New Roman" w:hAnsi="Times New Roman" w:cs="Times New Roman"/>
          <w:sz w:val="24"/>
          <w:szCs w:val="24"/>
          <w:shd w:val="clear" w:color="auto" w:fill="FFFFFF"/>
        </w:rPr>
      </w:pPr>
    </w:p>
    <w:p w:rsidR="002A27E7" w:rsidRDefault="002A27E7" w:rsidP="002A27E7">
      <w:pPr>
        <w:spacing w:line="360" w:lineRule="auto"/>
        <w:jc w:val="center"/>
        <w:rPr>
          <w:rFonts w:ascii="Times New Roman" w:hAnsi="Times New Roman" w:cs="Times New Roman"/>
          <w:sz w:val="24"/>
          <w:szCs w:val="24"/>
          <w:shd w:val="clear" w:color="auto" w:fill="FFFFFF"/>
        </w:rPr>
      </w:pPr>
    </w:p>
    <w:p w:rsidR="002A27E7" w:rsidRDefault="002A27E7" w:rsidP="002A27E7">
      <w:pPr>
        <w:spacing w:line="360" w:lineRule="auto"/>
        <w:jc w:val="center"/>
        <w:rPr>
          <w:rFonts w:ascii="Times New Roman" w:hAnsi="Times New Roman" w:cs="Times New Roman"/>
          <w:sz w:val="24"/>
          <w:szCs w:val="24"/>
          <w:shd w:val="clear" w:color="auto" w:fill="FFFFFF"/>
        </w:rPr>
      </w:pPr>
    </w:p>
    <w:p w:rsidR="002A27E7" w:rsidRPr="001C6C65" w:rsidRDefault="002A27E7" w:rsidP="002A27E7">
      <w:pPr>
        <w:spacing w:line="36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Mental Health Courts</w:t>
      </w:r>
    </w:p>
    <w:p w:rsidR="002A27E7" w:rsidRPr="001C6C65" w:rsidRDefault="002A27E7" w:rsidP="002A27E7">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[Name]</w:t>
      </w:r>
    </w:p>
    <w:p w:rsidR="002A27E7" w:rsidRPr="001C6C65" w:rsidRDefault="002A27E7" w:rsidP="002A27E7">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[Institution affiliation]</w:t>
      </w:r>
    </w:p>
    <w:p w:rsidR="002A27E7" w:rsidRPr="001C6C65" w:rsidRDefault="002A27E7" w:rsidP="002A27E7">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[Course]</w:t>
      </w:r>
    </w:p>
    <w:p w:rsidR="002A27E7" w:rsidRPr="001C6C65" w:rsidRDefault="002A27E7" w:rsidP="002A27E7">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[Date]</w:t>
      </w:r>
    </w:p>
    <w:p w:rsidR="001966CF" w:rsidRDefault="001966CF" w:rsidP="00A10BA7">
      <w:pPr>
        <w:spacing w:line="480" w:lineRule="auto"/>
        <w:jc w:val="center"/>
        <w:rPr>
          <w:rFonts w:ascii="Times New Roman" w:hAnsi="Times New Roman" w:cs="Times New Roman"/>
          <w:sz w:val="24"/>
          <w:szCs w:val="24"/>
        </w:rPr>
      </w:pPr>
    </w:p>
    <w:p w:rsidR="001966CF" w:rsidRDefault="001966CF" w:rsidP="00A10BA7">
      <w:pPr>
        <w:spacing w:line="480" w:lineRule="auto"/>
        <w:jc w:val="center"/>
        <w:rPr>
          <w:rFonts w:ascii="Times New Roman" w:hAnsi="Times New Roman" w:cs="Times New Roman"/>
          <w:sz w:val="24"/>
          <w:szCs w:val="24"/>
        </w:rPr>
      </w:pPr>
    </w:p>
    <w:p w:rsidR="001966CF" w:rsidRDefault="001966CF" w:rsidP="00A10BA7">
      <w:pPr>
        <w:spacing w:line="480" w:lineRule="auto"/>
        <w:jc w:val="center"/>
        <w:rPr>
          <w:rFonts w:ascii="Times New Roman" w:hAnsi="Times New Roman" w:cs="Times New Roman"/>
          <w:sz w:val="24"/>
          <w:szCs w:val="24"/>
        </w:rPr>
      </w:pPr>
    </w:p>
    <w:p w:rsidR="002A27E7" w:rsidRDefault="002A27E7" w:rsidP="00A10BA7">
      <w:pPr>
        <w:spacing w:line="480" w:lineRule="auto"/>
        <w:jc w:val="center"/>
        <w:rPr>
          <w:rFonts w:ascii="Times New Roman" w:hAnsi="Times New Roman" w:cs="Times New Roman"/>
          <w:sz w:val="24"/>
          <w:szCs w:val="24"/>
        </w:rPr>
      </w:pPr>
    </w:p>
    <w:p w:rsidR="002A27E7" w:rsidRDefault="002A27E7" w:rsidP="00A10BA7">
      <w:pPr>
        <w:spacing w:line="480" w:lineRule="auto"/>
        <w:jc w:val="center"/>
        <w:rPr>
          <w:rFonts w:ascii="Times New Roman" w:hAnsi="Times New Roman" w:cs="Times New Roman"/>
          <w:sz w:val="24"/>
          <w:szCs w:val="24"/>
        </w:rPr>
      </w:pPr>
    </w:p>
    <w:p w:rsidR="002A27E7" w:rsidRDefault="002A27E7" w:rsidP="00A10BA7">
      <w:pPr>
        <w:spacing w:line="480" w:lineRule="auto"/>
        <w:jc w:val="center"/>
        <w:rPr>
          <w:rFonts w:ascii="Times New Roman" w:hAnsi="Times New Roman" w:cs="Times New Roman"/>
          <w:sz w:val="24"/>
          <w:szCs w:val="24"/>
        </w:rPr>
      </w:pPr>
      <w:bookmarkStart w:id="0" w:name="_GoBack"/>
      <w:bookmarkEnd w:id="0"/>
    </w:p>
    <w:p w:rsidR="002A27E7" w:rsidRDefault="002A27E7" w:rsidP="00A10BA7">
      <w:pPr>
        <w:spacing w:line="480" w:lineRule="auto"/>
        <w:jc w:val="center"/>
        <w:rPr>
          <w:rFonts w:ascii="Times New Roman" w:hAnsi="Times New Roman" w:cs="Times New Roman"/>
          <w:sz w:val="24"/>
          <w:szCs w:val="24"/>
        </w:rPr>
      </w:pPr>
    </w:p>
    <w:p w:rsidR="009159ED" w:rsidRPr="003B41BD" w:rsidRDefault="009159ED" w:rsidP="00A10BA7">
      <w:pPr>
        <w:spacing w:line="480" w:lineRule="auto"/>
        <w:jc w:val="center"/>
        <w:rPr>
          <w:rFonts w:ascii="Times New Roman" w:hAnsi="Times New Roman" w:cs="Times New Roman"/>
          <w:b/>
          <w:sz w:val="24"/>
          <w:szCs w:val="24"/>
        </w:rPr>
      </w:pPr>
      <w:r w:rsidRPr="003B41BD">
        <w:rPr>
          <w:rFonts w:ascii="Times New Roman" w:hAnsi="Times New Roman" w:cs="Times New Roman"/>
          <w:b/>
          <w:sz w:val="24"/>
          <w:szCs w:val="24"/>
        </w:rPr>
        <w:lastRenderedPageBreak/>
        <w:t>The effectiveness of Mental Health court</w:t>
      </w:r>
    </w:p>
    <w:p w:rsidR="00ED08B3" w:rsidRPr="003B41BD" w:rsidRDefault="00ED08B3" w:rsidP="003B41BD">
      <w:pPr>
        <w:spacing w:line="480" w:lineRule="auto"/>
        <w:jc w:val="both"/>
        <w:rPr>
          <w:rFonts w:ascii="Times New Roman" w:hAnsi="Times New Roman" w:cs="Times New Roman"/>
          <w:b/>
          <w:sz w:val="24"/>
          <w:szCs w:val="24"/>
        </w:rPr>
      </w:pPr>
      <w:r w:rsidRPr="003B41BD">
        <w:rPr>
          <w:rFonts w:ascii="Times New Roman" w:hAnsi="Times New Roman" w:cs="Times New Roman"/>
          <w:b/>
          <w:sz w:val="24"/>
          <w:szCs w:val="24"/>
        </w:rPr>
        <w:t>Introduction</w:t>
      </w:r>
    </w:p>
    <w:p w:rsidR="00A10BA7" w:rsidRPr="00A10BA7" w:rsidRDefault="00A10BA7" w:rsidP="003B41BD">
      <w:pPr>
        <w:spacing w:line="480" w:lineRule="auto"/>
        <w:ind w:firstLine="720"/>
        <w:jc w:val="both"/>
        <w:rPr>
          <w:rFonts w:ascii="Times New Roman" w:hAnsi="Times New Roman" w:cs="Times New Roman"/>
          <w:sz w:val="24"/>
          <w:szCs w:val="24"/>
        </w:rPr>
      </w:pPr>
      <w:r w:rsidRPr="00A10BA7">
        <w:rPr>
          <w:rFonts w:ascii="Times New Roman" w:hAnsi="Times New Roman" w:cs="Times New Roman"/>
          <w:sz w:val="24"/>
          <w:szCs w:val="24"/>
        </w:rPr>
        <w:t>In recent years, the criminal court focus has been shifted from criminal processing to providing therapeutic solutions. One type of the problem-solving courts is the mental health court which provides diversion interventions intended to help defendants with mental illness with therapeutic healing in lieu of incarceration. The mental health courts have significantly increased in recent years with close to 300 being in operation currently in the United States. Mental health courts are specialized problem-solving courts which focus on treatment through the diversion of the mentally ill defenders from the criminal justice system. These mental ill defenders are then taken into court-mandated and community-based treatment programs. The mental health courts were created as one way of addressing the increased number of individuals with mental illnesses who often go through the criminal justice system. The main objective of mental health courts is to reduce recidivism as well as reduce the contact that mentally ill defenders have with the criminal justice system (Lowder, Rade &amp; Desmarais, 2017). This is enabled by linking these individuals to treatment programs that help improve their social functioning. The overall goals of mental health courts are to promote public safety through a reduction in the rates of recidivism, improve the quality of life of individuals with mental illness through the provision of effective treatment and to reduce the costs related to court and corrections through the administration of efficient alternatives to incarceration.</w:t>
      </w:r>
    </w:p>
    <w:p w:rsidR="00A10BA7" w:rsidRPr="00A10BA7" w:rsidRDefault="00A10BA7" w:rsidP="003B41BD">
      <w:pPr>
        <w:spacing w:line="480" w:lineRule="auto"/>
        <w:ind w:firstLine="720"/>
        <w:jc w:val="both"/>
        <w:rPr>
          <w:rFonts w:ascii="Times New Roman" w:hAnsi="Times New Roman" w:cs="Times New Roman"/>
          <w:sz w:val="24"/>
          <w:szCs w:val="24"/>
        </w:rPr>
      </w:pPr>
      <w:r w:rsidRPr="00A10BA7">
        <w:rPr>
          <w:rFonts w:ascii="Times New Roman" w:hAnsi="Times New Roman" w:cs="Times New Roman"/>
          <w:sz w:val="24"/>
          <w:szCs w:val="24"/>
        </w:rPr>
        <w:t xml:space="preserve">A large number of people with mental illness who are involved in the criminal justice system has increased in recent years. This has caused pressure among the policymakers in both the criminal justice system and mental health systems as they seek solutions to solve issues of </w:t>
      </w:r>
      <w:r w:rsidRPr="00A10BA7">
        <w:rPr>
          <w:rFonts w:ascii="Times New Roman" w:hAnsi="Times New Roman" w:cs="Times New Roman"/>
          <w:sz w:val="24"/>
          <w:szCs w:val="24"/>
        </w:rPr>
        <w:lastRenderedPageBreak/>
        <w:t xml:space="preserve">recidivism as well as reduce the cost associated with the treatment of individuals suffering mental illness incarcerated in the traditional criminal justice system (Bazelon </w:t>
      </w:r>
      <w:r w:rsidR="003B41BD" w:rsidRPr="00A10BA7">
        <w:rPr>
          <w:rFonts w:ascii="Times New Roman" w:hAnsi="Times New Roman" w:cs="Times New Roman"/>
          <w:sz w:val="24"/>
          <w:szCs w:val="24"/>
        </w:rPr>
        <w:t>Center,</w:t>
      </w:r>
      <w:r w:rsidRPr="00A10BA7">
        <w:rPr>
          <w:rFonts w:ascii="Times New Roman" w:hAnsi="Times New Roman" w:cs="Times New Roman"/>
          <w:sz w:val="24"/>
          <w:szCs w:val="24"/>
        </w:rPr>
        <w:t xml:space="preserve"> 2016). Studies show that the number of people found in American jails on any given day is about 2 million people. Among that number more than half of the people have a serious mental illness; 56 percent of these are state prisoners, 45 percent federal prisoners and 64 percent of local jail inmates have a mental health problem (Heyrman, 2015). The individuals suffering mental illness often go through a repeated cycle of courtrooms, jails, and prisons that are not well equipped to meet the needs of these individuals particularly in providing them with sufficient treatment. As a result, the problem-solving courts have come up with various solutions to address these cases including establishing the mental health court. This court combines the court supervision with the community-based treatment services to people with mental illness instead of confining them to jails or prisons. </w:t>
      </w:r>
    </w:p>
    <w:p w:rsidR="00A10BA7" w:rsidRPr="00A10BA7" w:rsidRDefault="00A10BA7" w:rsidP="003B41BD">
      <w:pPr>
        <w:spacing w:line="480" w:lineRule="auto"/>
        <w:ind w:firstLine="720"/>
        <w:jc w:val="both"/>
        <w:rPr>
          <w:rFonts w:ascii="Times New Roman" w:hAnsi="Times New Roman" w:cs="Times New Roman"/>
          <w:sz w:val="24"/>
          <w:szCs w:val="24"/>
        </w:rPr>
      </w:pPr>
      <w:r w:rsidRPr="00A10BA7">
        <w:rPr>
          <w:rFonts w:ascii="Times New Roman" w:hAnsi="Times New Roman" w:cs="Times New Roman"/>
          <w:sz w:val="24"/>
          <w:szCs w:val="24"/>
        </w:rPr>
        <w:t xml:space="preserve">Mental health courts operate just like the other problem-solving courts such as the drug court. Notably, mentally health courts share some similar features, but the implementation of the treatment programs varies significantly due to factors such as availability of treatment in the communities. Mental health courts usually include mental health assessments and customized treatment plans in their programs. The process also involves intensive supervision of the offender and continuous court monitoring (Wolff, Fabrikant &amp; Belenko, 2011). Drug screenings may be conducted on a monthly basis, and every week the court may check on medication to ensure that the participants are keeping up with the treatment plan. In the case of negative behavior and noncompliance, there may be the immediate imposition of sanctions to address the behavior. Also, incentives may be given to encourage compliance and good behavior.  While the treatment </w:t>
      </w:r>
      <w:r w:rsidR="003B41BD">
        <w:rPr>
          <w:rFonts w:ascii="Times New Roman" w:hAnsi="Times New Roman" w:cs="Times New Roman"/>
          <w:sz w:val="24"/>
          <w:szCs w:val="24"/>
        </w:rPr>
        <w:t>progress</w:t>
      </w:r>
      <w:r w:rsidR="003B41BD" w:rsidRPr="00A10BA7">
        <w:rPr>
          <w:rFonts w:ascii="Times New Roman" w:hAnsi="Times New Roman" w:cs="Times New Roman"/>
          <w:sz w:val="24"/>
          <w:szCs w:val="24"/>
        </w:rPr>
        <w:t>es</w:t>
      </w:r>
      <w:r w:rsidRPr="00A10BA7">
        <w:rPr>
          <w:rFonts w:ascii="Times New Roman" w:hAnsi="Times New Roman" w:cs="Times New Roman"/>
          <w:sz w:val="24"/>
          <w:szCs w:val="24"/>
        </w:rPr>
        <w:t xml:space="preserve">, the participants may discontinue attending the court session or even get a dismissal of their charges after they complete the program requirements. </w:t>
      </w:r>
    </w:p>
    <w:p w:rsidR="00A10BA7" w:rsidRPr="00A10BA7" w:rsidRDefault="00A10BA7" w:rsidP="003B41BD">
      <w:pPr>
        <w:spacing w:line="480" w:lineRule="auto"/>
        <w:ind w:firstLine="720"/>
        <w:jc w:val="both"/>
        <w:rPr>
          <w:rFonts w:ascii="Times New Roman" w:hAnsi="Times New Roman" w:cs="Times New Roman"/>
          <w:sz w:val="24"/>
          <w:szCs w:val="24"/>
        </w:rPr>
      </w:pPr>
      <w:r w:rsidRPr="00A10BA7">
        <w:rPr>
          <w:rFonts w:ascii="Times New Roman" w:hAnsi="Times New Roman" w:cs="Times New Roman"/>
          <w:sz w:val="24"/>
          <w:szCs w:val="24"/>
        </w:rPr>
        <w:lastRenderedPageBreak/>
        <w:t xml:space="preserve">The mental health courts involve collaboration among various personnel including mental health professionals, criminal justice personnel and community-based support systems. All the relevant stakeholders involved in the treatment-program meet and discuss each case as well as report to the judge about the progress of the participant (Wolff, Fabrikant &amp; Belenko, 2011). </w:t>
      </w:r>
    </w:p>
    <w:p w:rsidR="00A10BA7" w:rsidRPr="00A10BA7" w:rsidRDefault="00A10BA7" w:rsidP="003B41BD">
      <w:pPr>
        <w:spacing w:line="480" w:lineRule="auto"/>
        <w:ind w:firstLine="720"/>
        <w:jc w:val="both"/>
        <w:rPr>
          <w:rFonts w:ascii="Times New Roman" w:hAnsi="Times New Roman" w:cs="Times New Roman"/>
          <w:sz w:val="24"/>
          <w:szCs w:val="24"/>
        </w:rPr>
      </w:pPr>
      <w:r w:rsidRPr="00A10BA7">
        <w:rPr>
          <w:rFonts w:ascii="Times New Roman" w:hAnsi="Times New Roman" w:cs="Times New Roman"/>
          <w:sz w:val="24"/>
          <w:szCs w:val="24"/>
        </w:rPr>
        <w:t xml:space="preserve">The presence of individuals with mental illness in the criminal justice system not only cause harm to the defendants but also imposes substantial costs on the system. Therefore, the mental health of America supports the substantial efforts adopted to reduce the number of individuals with mental illness in the criminal justice systems. </w:t>
      </w:r>
    </w:p>
    <w:p w:rsidR="00A10BA7" w:rsidRPr="00A10BA7" w:rsidRDefault="00A10BA7" w:rsidP="003B41BD">
      <w:pPr>
        <w:spacing w:line="480" w:lineRule="auto"/>
        <w:ind w:firstLine="720"/>
        <w:jc w:val="both"/>
        <w:rPr>
          <w:rFonts w:ascii="Times New Roman" w:hAnsi="Times New Roman" w:cs="Times New Roman"/>
          <w:sz w:val="24"/>
          <w:szCs w:val="24"/>
        </w:rPr>
      </w:pPr>
      <w:r w:rsidRPr="00A10BA7">
        <w:rPr>
          <w:rFonts w:ascii="Times New Roman" w:hAnsi="Times New Roman" w:cs="Times New Roman"/>
          <w:sz w:val="24"/>
          <w:szCs w:val="24"/>
        </w:rPr>
        <w:t xml:space="preserve">Mental health courts ride on the premise that they help reduce recidivism as well as cut on the costs involved with treatment and care for incarcerated inmates such as housing and employment. According to a study done by Lee and colleagues in 2012 (Lee et al. 2012), a Meta-analysis aimed at examining the economic value of the programs that reduce crime including the mental health courts found that the benefit to cost ratio was 6.96. This means that for every dollar invested in mental health courts there was a cost saving of 6.96 dollars. </w:t>
      </w:r>
    </w:p>
    <w:p w:rsidR="00A10BA7" w:rsidRPr="00A10BA7" w:rsidRDefault="00A10BA7" w:rsidP="003B41BD">
      <w:pPr>
        <w:spacing w:line="480" w:lineRule="auto"/>
        <w:ind w:firstLine="720"/>
        <w:jc w:val="both"/>
        <w:rPr>
          <w:rFonts w:ascii="Times New Roman" w:hAnsi="Times New Roman" w:cs="Times New Roman"/>
          <w:sz w:val="24"/>
          <w:szCs w:val="24"/>
        </w:rPr>
      </w:pPr>
      <w:r w:rsidRPr="00A10BA7">
        <w:rPr>
          <w:rFonts w:ascii="Times New Roman" w:hAnsi="Times New Roman" w:cs="Times New Roman"/>
          <w:sz w:val="24"/>
          <w:szCs w:val="24"/>
        </w:rPr>
        <w:t xml:space="preserve">The eligible individuals for participating in mental health courts will vary depending on the program. However, only the people who have mental illness including those diagnosed with severe mental illnesses such as schizophrenia and bipolar are included to participate. Some courts will also include the people who have had head injuries, mental developmental disabilities, and co-occurring substance use disorders.  The defendants who are mentally ill are </w:t>
      </w:r>
      <w:r w:rsidRPr="00A10BA7">
        <w:rPr>
          <w:rFonts w:ascii="Times New Roman" w:hAnsi="Times New Roman" w:cs="Times New Roman"/>
          <w:sz w:val="24"/>
          <w:szCs w:val="24"/>
        </w:rPr>
        <w:lastRenderedPageBreak/>
        <w:t xml:space="preserve">usually referred to the mental health courts by the judges, family members, defense attorneys, and other jail staff. The individuals accepted can also have misdemeanor and felony charges. </w:t>
      </w:r>
    </w:p>
    <w:p w:rsidR="00A10BA7" w:rsidRPr="00A10BA7" w:rsidRDefault="00A10BA7" w:rsidP="003B41BD">
      <w:pPr>
        <w:spacing w:line="480" w:lineRule="auto"/>
        <w:jc w:val="both"/>
        <w:rPr>
          <w:rFonts w:ascii="Times New Roman" w:hAnsi="Times New Roman" w:cs="Times New Roman"/>
          <w:sz w:val="24"/>
          <w:szCs w:val="24"/>
        </w:rPr>
      </w:pPr>
      <w:r w:rsidRPr="00A10BA7">
        <w:rPr>
          <w:rFonts w:ascii="Times New Roman" w:hAnsi="Times New Roman" w:cs="Times New Roman"/>
          <w:sz w:val="24"/>
          <w:szCs w:val="24"/>
        </w:rPr>
        <w:t>While there has not been extensive research to conclude on the effectiveness of the mental health courts on reducing recidivism and incarceration costs, the existing research suggests that mental health courts produce positive outcomes for the participants as well as the general public. The available evidence indicates that there have been substantial reductions in the recidivism for mental health defendants who have gone through the mental health courts rather than the traditional court justice systems. Evidence also shows that there are cost reductions related to jail and court processes as well as a decreased need for expensive treatment options such as inpatient care. s</w:t>
      </w:r>
    </w:p>
    <w:p w:rsidR="00A10BA7" w:rsidRPr="00A10BA7" w:rsidRDefault="00A10BA7" w:rsidP="003B41BD">
      <w:pPr>
        <w:spacing w:line="480" w:lineRule="auto"/>
        <w:ind w:firstLine="720"/>
        <w:jc w:val="both"/>
        <w:rPr>
          <w:rFonts w:ascii="Times New Roman" w:hAnsi="Times New Roman" w:cs="Times New Roman"/>
          <w:sz w:val="24"/>
          <w:szCs w:val="24"/>
        </w:rPr>
      </w:pPr>
      <w:r w:rsidRPr="00A10BA7">
        <w:rPr>
          <w:rFonts w:ascii="Times New Roman" w:hAnsi="Times New Roman" w:cs="Times New Roman"/>
          <w:sz w:val="24"/>
          <w:szCs w:val="24"/>
        </w:rPr>
        <w:t xml:space="preserve">Regarding the first observation, the defendants who participate in mental health courts tend to have lower rates of recidivism are less likely to commit new crimes compared to individuals with mental illness in the traditional criminal court system.  This observation is not only seen when the participants are under supervision but also after they no longer require the monitoring by the court.  Brooklyn mental health court documented evaluations indicate that there were improvements in outcomes in areas such as substance abuse, recidivism, and psychiatric hospitalizations. Three Meta-analyses conducted about the effectiveness of the mental health courts in terms of reduction in recidivism for participants with serious mental illnesses convicted and sentenced through the criminal justice system produced positive outcomes. However, only one Meta-analysis did not find a significant impact on mental health courts on recidivism.  </w:t>
      </w:r>
      <w:r w:rsidR="003B41BD" w:rsidRPr="00A10BA7">
        <w:rPr>
          <w:rFonts w:ascii="Times New Roman" w:hAnsi="Times New Roman" w:cs="Times New Roman"/>
          <w:sz w:val="24"/>
          <w:szCs w:val="24"/>
        </w:rPr>
        <w:t>Cross (</w:t>
      </w:r>
      <w:r w:rsidRPr="00A10BA7">
        <w:rPr>
          <w:rFonts w:ascii="Times New Roman" w:hAnsi="Times New Roman" w:cs="Times New Roman"/>
          <w:sz w:val="24"/>
          <w:szCs w:val="24"/>
        </w:rPr>
        <w:t xml:space="preserve">2011) researched to examine recidivism outcomes from 18 mental health courts and found a significant positive result (Cross, 2011). This suggested that mental health courts have a moderate effect on recidivism reduction.  Sarteschi, Vaughn, and Kim </w:t>
      </w:r>
      <w:r w:rsidRPr="00A10BA7">
        <w:rPr>
          <w:rFonts w:ascii="Times New Roman" w:hAnsi="Times New Roman" w:cs="Times New Roman"/>
          <w:sz w:val="24"/>
          <w:szCs w:val="24"/>
        </w:rPr>
        <w:lastRenderedPageBreak/>
        <w:t xml:space="preserve">(2011) also took another study on 12 mental health courts and found a significant effect size which also suggests that mental health courts have a moderate effect in reducing recidivism (Sarteschi, Vaughn, &amp; Kim, 2011). Lee and colleagues (2012) also carried a similar study on six studies and found a significant effect size which indicates that mental health courts have a small effect on crime (Lee et, al. 2011). Another study done by Utah Criminal Justice Center (2012) found a positive outcome but less significant effect on recidivism suggesting that mental health courts have actually no impact on the reoffending or engaging in new crimes (Utah Criminal Justice Center, 2012). </w:t>
      </w:r>
    </w:p>
    <w:p w:rsidR="00A10BA7" w:rsidRPr="00A10BA7" w:rsidRDefault="00A10BA7" w:rsidP="003B41BD">
      <w:pPr>
        <w:spacing w:line="480" w:lineRule="auto"/>
        <w:ind w:firstLine="720"/>
        <w:jc w:val="both"/>
        <w:rPr>
          <w:rFonts w:ascii="Times New Roman" w:hAnsi="Times New Roman" w:cs="Times New Roman"/>
          <w:sz w:val="24"/>
          <w:szCs w:val="24"/>
        </w:rPr>
      </w:pPr>
      <w:r w:rsidRPr="00A10BA7">
        <w:rPr>
          <w:rFonts w:ascii="Times New Roman" w:hAnsi="Times New Roman" w:cs="Times New Roman"/>
          <w:sz w:val="24"/>
          <w:szCs w:val="24"/>
        </w:rPr>
        <w:t>The mental health courts have received criticism from the public and other policymakers for deepening the involvement of people with mental illness in the criminal justices system instead of lessening the outcomes. The critics argue that the mental health courts should accept individuals charged with felonies instead of those only charged with misdemeanors. Another criticism is on the admission process to mental health court which they argue that there are likely to be cases of bias, this is because the process is complicated and involves a variable decision making with multiple people representing different interests and expertise (Wolff, Fabrikant &amp; Belenko, 2011).</w:t>
      </w:r>
    </w:p>
    <w:p w:rsidR="00BC5E38" w:rsidRPr="00A10BA7" w:rsidRDefault="00A10BA7" w:rsidP="003B41BD">
      <w:pPr>
        <w:spacing w:line="480" w:lineRule="auto"/>
        <w:ind w:firstLine="720"/>
        <w:jc w:val="both"/>
        <w:rPr>
          <w:rFonts w:ascii="Times New Roman" w:hAnsi="Times New Roman" w:cs="Times New Roman"/>
          <w:sz w:val="24"/>
          <w:szCs w:val="24"/>
        </w:rPr>
      </w:pPr>
      <w:r w:rsidRPr="00A10BA7">
        <w:rPr>
          <w:rFonts w:ascii="Times New Roman" w:hAnsi="Times New Roman" w:cs="Times New Roman"/>
          <w:sz w:val="24"/>
          <w:szCs w:val="24"/>
        </w:rPr>
        <w:t>The mental health courts are gradually increasing in popularity as well as expanding their jurisdiction to accept individuals charged with serious offenses. This positive trend reflects the objectives and purposes of the mental health courts.</w:t>
      </w:r>
      <w:r w:rsidR="00BC5E38" w:rsidRPr="00A10BA7">
        <w:rPr>
          <w:rFonts w:ascii="Times New Roman" w:hAnsi="Times New Roman" w:cs="Times New Roman"/>
          <w:sz w:val="24"/>
          <w:szCs w:val="24"/>
          <w:shd w:val="clear" w:color="auto" w:fill="FFFFFF"/>
        </w:rPr>
        <w:t> </w:t>
      </w:r>
    </w:p>
    <w:p w:rsidR="00A10BA7" w:rsidRDefault="00A10BA7" w:rsidP="003B41BD">
      <w:pPr>
        <w:spacing w:line="480" w:lineRule="auto"/>
        <w:jc w:val="both"/>
        <w:rPr>
          <w:rFonts w:ascii="Times New Roman" w:hAnsi="Times New Roman" w:cs="Times New Roman"/>
          <w:sz w:val="24"/>
          <w:szCs w:val="24"/>
        </w:rPr>
      </w:pPr>
    </w:p>
    <w:p w:rsidR="00A10BA7" w:rsidRDefault="00A10BA7" w:rsidP="003B41BD">
      <w:pPr>
        <w:spacing w:line="480" w:lineRule="auto"/>
        <w:jc w:val="both"/>
        <w:rPr>
          <w:rFonts w:ascii="Times New Roman" w:hAnsi="Times New Roman" w:cs="Times New Roman"/>
          <w:sz w:val="24"/>
          <w:szCs w:val="24"/>
        </w:rPr>
      </w:pPr>
    </w:p>
    <w:p w:rsidR="00A10BA7" w:rsidRDefault="00A10BA7" w:rsidP="003B41BD">
      <w:pPr>
        <w:spacing w:line="480" w:lineRule="auto"/>
        <w:jc w:val="both"/>
        <w:rPr>
          <w:rFonts w:ascii="Times New Roman" w:hAnsi="Times New Roman" w:cs="Times New Roman"/>
          <w:sz w:val="24"/>
          <w:szCs w:val="24"/>
        </w:rPr>
      </w:pPr>
    </w:p>
    <w:p w:rsidR="00E30A78" w:rsidRPr="00A10BA7" w:rsidRDefault="00ED24EF" w:rsidP="00A10BA7">
      <w:pPr>
        <w:spacing w:line="480" w:lineRule="auto"/>
        <w:jc w:val="center"/>
        <w:rPr>
          <w:rFonts w:ascii="Times New Roman" w:hAnsi="Times New Roman" w:cs="Times New Roman"/>
          <w:sz w:val="24"/>
          <w:szCs w:val="24"/>
        </w:rPr>
      </w:pPr>
      <w:r w:rsidRPr="00A10BA7">
        <w:rPr>
          <w:rFonts w:ascii="Times New Roman" w:hAnsi="Times New Roman" w:cs="Times New Roman"/>
          <w:sz w:val="24"/>
          <w:szCs w:val="24"/>
        </w:rPr>
        <w:lastRenderedPageBreak/>
        <w:t>References</w:t>
      </w:r>
    </w:p>
    <w:p w:rsidR="00D074BD" w:rsidRPr="00A10BA7" w:rsidRDefault="00D074BD" w:rsidP="00A10BA7">
      <w:pPr>
        <w:spacing w:line="480" w:lineRule="auto"/>
        <w:ind w:left="720" w:hanging="720"/>
        <w:rPr>
          <w:rFonts w:ascii="Times New Roman" w:hAnsi="Times New Roman" w:cs="Times New Roman"/>
          <w:sz w:val="24"/>
          <w:szCs w:val="24"/>
        </w:rPr>
      </w:pPr>
      <w:r w:rsidRPr="00A10BA7">
        <w:rPr>
          <w:rFonts w:ascii="Times New Roman" w:hAnsi="Times New Roman" w:cs="Times New Roman"/>
          <w:sz w:val="24"/>
          <w:szCs w:val="24"/>
          <w:shd w:val="clear" w:color="auto" w:fill="FFFFFF"/>
        </w:rPr>
        <w:t>Bazelon Center </w:t>
      </w:r>
      <w:r w:rsidR="00ED24EF" w:rsidRPr="00A10BA7">
        <w:rPr>
          <w:rFonts w:ascii="Times New Roman" w:hAnsi="Times New Roman" w:cs="Times New Roman"/>
          <w:sz w:val="24"/>
          <w:szCs w:val="24"/>
          <w:shd w:val="clear" w:color="auto" w:fill="FFFFFF"/>
        </w:rPr>
        <w:t>(2016</w:t>
      </w:r>
      <w:r w:rsidR="002E4FCB" w:rsidRPr="00A10BA7">
        <w:rPr>
          <w:rFonts w:ascii="Times New Roman" w:hAnsi="Times New Roman" w:cs="Times New Roman"/>
          <w:sz w:val="24"/>
          <w:szCs w:val="24"/>
          <w:shd w:val="clear" w:color="auto" w:fill="FFFFFF"/>
        </w:rPr>
        <w:t>). Mental Health C</w:t>
      </w:r>
      <w:r w:rsidR="00ED24EF" w:rsidRPr="00A10BA7">
        <w:rPr>
          <w:rFonts w:ascii="Times New Roman" w:hAnsi="Times New Roman" w:cs="Times New Roman"/>
          <w:sz w:val="24"/>
          <w:szCs w:val="24"/>
          <w:shd w:val="clear" w:color="auto" w:fill="FFFFFF"/>
        </w:rPr>
        <w:t>o</w:t>
      </w:r>
      <w:r w:rsidR="002E4FCB" w:rsidRPr="00A10BA7">
        <w:rPr>
          <w:rFonts w:ascii="Times New Roman" w:hAnsi="Times New Roman" w:cs="Times New Roman"/>
          <w:sz w:val="24"/>
          <w:szCs w:val="24"/>
          <w:shd w:val="clear" w:color="auto" w:fill="FFFFFF"/>
        </w:rPr>
        <w:t>u</w:t>
      </w:r>
      <w:r w:rsidR="00ED24EF" w:rsidRPr="00A10BA7">
        <w:rPr>
          <w:rFonts w:ascii="Times New Roman" w:hAnsi="Times New Roman" w:cs="Times New Roman"/>
          <w:sz w:val="24"/>
          <w:szCs w:val="24"/>
          <w:shd w:val="clear" w:color="auto" w:fill="FFFFFF"/>
        </w:rPr>
        <w:t>rts. Retrieved from:</w:t>
      </w:r>
      <w:r w:rsidRPr="00A10BA7">
        <w:rPr>
          <w:rFonts w:ascii="Times New Roman" w:hAnsi="Times New Roman" w:cs="Times New Roman"/>
          <w:sz w:val="24"/>
          <w:szCs w:val="24"/>
          <w:shd w:val="clear" w:color="auto" w:fill="FFFFFF"/>
        </w:rPr>
        <w:t xml:space="preserve"> </w:t>
      </w:r>
      <w:hyperlink r:id="rId7" w:history="1">
        <w:r w:rsidRPr="00A10BA7">
          <w:rPr>
            <w:rStyle w:val="Hyperlink"/>
            <w:rFonts w:ascii="Times New Roman" w:hAnsi="Times New Roman" w:cs="Times New Roman"/>
            <w:color w:val="auto"/>
            <w:sz w:val="24"/>
            <w:szCs w:val="24"/>
          </w:rPr>
          <w:t>http://www.bazelon.org/our-work/criminal-justice-2/mental-health-courts/</w:t>
        </w:r>
      </w:hyperlink>
    </w:p>
    <w:p w:rsidR="00A10BA7" w:rsidRPr="00A10BA7" w:rsidRDefault="00715990" w:rsidP="00A10BA7">
      <w:pPr>
        <w:spacing w:line="480" w:lineRule="auto"/>
        <w:ind w:left="720" w:hanging="720"/>
        <w:rPr>
          <w:rFonts w:ascii="Times New Roman" w:hAnsi="Times New Roman" w:cs="Times New Roman"/>
          <w:sz w:val="24"/>
          <w:szCs w:val="24"/>
        </w:rPr>
      </w:pPr>
      <w:r w:rsidRPr="00A10BA7">
        <w:rPr>
          <w:rFonts w:ascii="Times New Roman" w:hAnsi="Times New Roman" w:cs="Times New Roman"/>
          <w:sz w:val="24"/>
          <w:szCs w:val="24"/>
          <w:shd w:val="clear" w:color="auto" w:fill="FFFFFF"/>
        </w:rPr>
        <w:t>Cross, B. (2011). Mental health courts effectiveness in reducing recidivism and improving clinical outcomes: A meta-analysis.</w:t>
      </w:r>
      <w:r w:rsidR="00AD5FFB" w:rsidRPr="00A10BA7">
        <w:rPr>
          <w:rFonts w:ascii="Times New Roman" w:hAnsi="Times New Roman" w:cs="Times New Roman"/>
          <w:sz w:val="24"/>
          <w:szCs w:val="24"/>
        </w:rPr>
        <w:br/>
      </w:r>
      <w:hyperlink r:id="rId8" w:tgtFrame="new" w:tooltip="http://scholarcommons.usf.edu/cgi/viewcontent.cgi?article=4247&amp;context=etd (http://scholarcommons.usf.edu/cgi/viewcontent.cgi?article=4247&amp;context=etd)" w:history="1">
        <w:r w:rsidR="00AD5FFB" w:rsidRPr="00A10BA7">
          <w:rPr>
            <w:rStyle w:val="Hyperlink"/>
            <w:rFonts w:ascii="Times New Roman" w:hAnsi="Times New Roman" w:cs="Times New Roman"/>
            <w:color w:val="auto"/>
            <w:sz w:val="24"/>
            <w:szCs w:val="24"/>
            <w:shd w:val="clear" w:color="auto" w:fill="FFFFFF"/>
          </w:rPr>
          <w:t>http://scholarcommons.usf.edu/cgi/viewcontent.cgi?article=4247&amp;context=etd </w:t>
        </w:r>
      </w:hyperlink>
    </w:p>
    <w:p w:rsidR="00A10BA7" w:rsidRPr="00A10BA7" w:rsidRDefault="00A10BA7" w:rsidP="00A10BA7">
      <w:pPr>
        <w:spacing w:line="480" w:lineRule="auto"/>
        <w:ind w:left="720" w:hanging="720"/>
        <w:rPr>
          <w:rFonts w:ascii="Times New Roman" w:hAnsi="Times New Roman" w:cs="Times New Roman"/>
          <w:sz w:val="24"/>
          <w:szCs w:val="24"/>
          <w:shd w:val="clear" w:color="auto" w:fill="FFFFFF"/>
        </w:rPr>
      </w:pPr>
      <w:r w:rsidRPr="00A10BA7">
        <w:rPr>
          <w:rFonts w:ascii="Times New Roman" w:hAnsi="Times New Roman" w:cs="Times New Roman"/>
          <w:sz w:val="24"/>
          <w:szCs w:val="24"/>
          <w:shd w:val="clear" w:color="auto" w:fill="FFFFFF"/>
        </w:rPr>
        <w:t xml:space="preserve">Heyrman, M.J.(2015). </w:t>
      </w:r>
      <w:r w:rsidRPr="00A10BA7">
        <w:rPr>
          <w:rFonts w:ascii="Times New Roman" w:hAnsi="Times New Roman" w:cs="Times New Roman"/>
          <w:sz w:val="24"/>
          <w:szCs w:val="24"/>
        </w:rPr>
        <w:t xml:space="preserve">Mental Health Courts: Solving Criminal Justice Problems or Perpetuating Criminal Justice Involvement? </w:t>
      </w:r>
    </w:p>
    <w:p w:rsidR="00A10BA7" w:rsidRPr="00A10BA7" w:rsidRDefault="00A10BA7" w:rsidP="00A10BA7">
      <w:pPr>
        <w:spacing w:line="480" w:lineRule="auto"/>
        <w:ind w:left="720" w:hanging="720"/>
        <w:rPr>
          <w:rFonts w:ascii="Times New Roman" w:hAnsi="Times New Roman" w:cs="Times New Roman"/>
          <w:sz w:val="24"/>
          <w:szCs w:val="24"/>
        </w:rPr>
      </w:pPr>
      <w:r w:rsidRPr="00A10BA7">
        <w:rPr>
          <w:rFonts w:ascii="Times New Roman" w:hAnsi="Times New Roman" w:cs="Times New Roman"/>
          <w:sz w:val="24"/>
          <w:szCs w:val="24"/>
          <w:shd w:val="clear" w:color="auto" w:fill="FFFFFF"/>
        </w:rPr>
        <w:t>Lee, S., Aos, S., Drake, E., Pennucci, A., Miller, M., &amp; Anderson, L. (2012). Return on investment: Evidence-based options to improve statewide outcomes. </w:t>
      </w:r>
      <w:r w:rsidRPr="00A10BA7">
        <w:rPr>
          <w:rFonts w:ascii="Times New Roman" w:hAnsi="Times New Roman" w:cs="Times New Roman"/>
          <w:i/>
          <w:iCs/>
          <w:sz w:val="24"/>
          <w:szCs w:val="24"/>
          <w:shd w:val="clear" w:color="auto" w:fill="FFFFFF"/>
        </w:rPr>
        <w:t>Olympia: Washington State Institute for Public Policy</w:t>
      </w:r>
      <w:r w:rsidRPr="00A10BA7">
        <w:rPr>
          <w:rFonts w:ascii="Times New Roman" w:hAnsi="Times New Roman" w:cs="Times New Roman"/>
          <w:sz w:val="24"/>
          <w:szCs w:val="24"/>
          <w:shd w:val="clear" w:color="auto" w:fill="FFFFFF"/>
        </w:rPr>
        <w:t>.</w:t>
      </w:r>
      <w:r w:rsidRPr="00A10BA7">
        <w:rPr>
          <w:rFonts w:ascii="Times New Roman" w:hAnsi="Times New Roman" w:cs="Times New Roman"/>
          <w:sz w:val="24"/>
          <w:szCs w:val="24"/>
        </w:rPr>
        <w:br/>
      </w:r>
      <w:hyperlink r:id="rId9" w:tgtFrame="new" w:tooltip="http://www.wsipp.wa.gov/ReportFile/1102/Wsipp_Return-on-Investment-Evidence-Based-Options-to-Improve-Statewide-Outcomes-April-2012-Update_Full-Report.pdf (http://www.wsipp.wa.gov/ReportFile/1102/Wsipp_Return-on-Investment-Evidence-Based-Options-to-Improve-Stat" w:history="1">
        <w:r w:rsidRPr="00A10BA7">
          <w:rPr>
            <w:rStyle w:val="Hyperlink"/>
            <w:rFonts w:ascii="Times New Roman" w:hAnsi="Times New Roman" w:cs="Times New Roman"/>
            <w:color w:val="auto"/>
            <w:sz w:val="24"/>
            <w:szCs w:val="24"/>
            <w:shd w:val="clear" w:color="auto" w:fill="FFFFFF"/>
          </w:rPr>
          <w:t>http://www.wsipp.wa.gov/ReportFile/1102/Wsipp_Return-on-Investment-Evidence-Based-Options-to-Improve-Statewide-Outcomes-April-2012-Update_Full-Report.pdf </w:t>
        </w:r>
      </w:hyperlink>
    </w:p>
    <w:p w:rsidR="00A10BA7" w:rsidRPr="00A10BA7" w:rsidRDefault="00A10BA7" w:rsidP="00A10BA7">
      <w:pPr>
        <w:shd w:val="clear" w:color="auto" w:fill="FFFFFF"/>
        <w:spacing w:after="120" w:line="480" w:lineRule="auto"/>
        <w:ind w:left="720" w:hanging="720"/>
        <w:rPr>
          <w:rFonts w:ascii="Times New Roman" w:hAnsi="Times New Roman" w:cs="Times New Roman"/>
          <w:sz w:val="24"/>
          <w:szCs w:val="24"/>
          <w:shd w:val="clear" w:color="auto" w:fill="FFFFFF"/>
        </w:rPr>
      </w:pPr>
      <w:r w:rsidRPr="00A10BA7">
        <w:rPr>
          <w:rFonts w:ascii="Times New Roman" w:hAnsi="Times New Roman" w:cs="Times New Roman"/>
          <w:sz w:val="24"/>
          <w:szCs w:val="24"/>
          <w:shd w:val="clear" w:color="auto" w:fill="FFFFFF"/>
        </w:rPr>
        <w:t>Lowder, E. M., Rade, C. B., &amp; Desmarais, S. L. (2017). Effectiveness of mental health courts in reducing recidivism: a meta-analysis. </w:t>
      </w:r>
      <w:r w:rsidRPr="00A10BA7">
        <w:rPr>
          <w:rFonts w:ascii="Times New Roman" w:hAnsi="Times New Roman" w:cs="Times New Roman"/>
          <w:i/>
          <w:iCs/>
          <w:sz w:val="24"/>
          <w:szCs w:val="24"/>
          <w:shd w:val="clear" w:color="auto" w:fill="FFFFFF"/>
        </w:rPr>
        <w:t>Psychiatric services</w:t>
      </w:r>
      <w:r w:rsidRPr="00A10BA7">
        <w:rPr>
          <w:rFonts w:ascii="Times New Roman" w:hAnsi="Times New Roman" w:cs="Times New Roman"/>
          <w:sz w:val="24"/>
          <w:szCs w:val="24"/>
          <w:shd w:val="clear" w:color="auto" w:fill="FFFFFF"/>
        </w:rPr>
        <w:t>, </w:t>
      </w:r>
      <w:r w:rsidRPr="00A10BA7">
        <w:rPr>
          <w:rFonts w:ascii="Times New Roman" w:hAnsi="Times New Roman" w:cs="Times New Roman"/>
          <w:i/>
          <w:iCs/>
          <w:sz w:val="24"/>
          <w:szCs w:val="24"/>
          <w:shd w:val="clear" w:color="auto" w:fill="FFFFFF"/>
        </w:rPr>
        <w:t>69</w:t>
      </w:r>
      <w:r w:rsidRPr="00A10BA7">
        <w:rPr>
          <w:rFonts w:ascii="Times New Roman" w:hAnsi="Times New Roman" w:cs="Times New Roman"/>
          <w:sz w:val="24"/>
          <w:szCs w:val="24"/>
          <w:shd w:val="clear" w:color="auto" w:fill="FFFFFF"/>
        </w:rPr>
        <w:t>(1), 15-22.</w:t>
      </w:r>
    </w:p>
    <w:p w:rsidR="00AD5FFB" w:rsidRPr="00A10BA7" w:rsidRDefault="00715990" w:rsidP="00A10BA7">
      <w:pPr>
        <w:spacing w:line="480" w:lineRule="auto"/>
        <w:ind w:left="720" w:hanging="720"/>
        <w:rPr>
          <w:rFonts w:ascii="Times New Roman" w:hAnsi="Times New Roman" w:cs="Times New Roman"/>
          <w:sz w:val="24"/>
          <w:szCs w:val="24"/>
        </w:rPr>
      </w:pPr>
      <w:r w:rsidRPr="00A10BA7">
        <w:rPr>
          <w:rFonts w:ascii="Times New Roman" w:hAnsi="Times New Roman" w:cs="Times New Roman"/>
          <w:sz w:val="24"/>
          <w:szCs w:val="24"/>
          <w:shd w:val="clear" w:color="auto" w:fill="FFFFFF"/>
        </w:rPr>
        <w:t>Sarteschi, C. M., Vaughn, M. G., &amp; Kim, K. (2011). Assessing the effectiveness of mental health courts: A quantitative review. </w:t>
      </w:r>
      <w:r w:rsidRPr="00A10BA7">
        <w:rPr>
          <w:rFonts w:ascii="Times New Roman" w:hAnsi="Times New Roman" w:cs="Times New Roman"/>
          <w:i/>
          <w:iCs/>
          <w:sz w:val="24"/>
          <w:szCs w:val="24"/>
          <w:shd w:val="clear" w:color="auto" w:fill="FFFFFF"/>
        </w:rPr>
        <w:t>Journal of criminal justice</w:t>
      </w:r>
      <w:r w:rsidRPr="00A10BA7">
        <w:rPr>
          <w:rFonts w:ascii="Times New Roman" w:hAnsi="Times New Roman" w:cs="Times New Roman"/>
          <w:sz w:val="24"/>
          <w:szCs w:val="24"/>
          <w:shd w:val="clear" w:color="auto" w:fill="FFFFFF"/>
        </w:rPr>
        <w:t>, </w:t>
      </w:r>
      <w:r w:rsidRPr="00A10BA7">
        <w:rPr>
          <w:rFonts w:ascii="Times New Roman" w:hAnsi="Times New Roman" w:cs="Times New Roman"/>
          <w:i/>
          <w:iCs/>
          <w:sz w:val="24"/>
          <w:szCs w:val="24"/>
          <w:shd w:val="clear" w:color="auto" w:fill="FFFFFF"/>
        </w:rPr>
        <w:t>39</w:t>
      </w:r>
      <w:r w:rsidRPr="00A10BA7">
        <w:rPr>
          <w:rFonts w:ascii="Times New Roman" w:hAnsi="Times New Roman" w:cs="Times New Roman"/>
          <w:sz w:val="24"/>
          <w:szCs w:val="24"/>
          <w:shd w:val="clear" w:color="auto" w:fill="FFFFFF"/>
        </w:rPr>
        <w:t>(1), 12-20.</w:t>
      </w:r>
      <w:r w:rsidR="00AD5FFB" w:rsidRPr="00A10BA7">
        <w:rPr>
          <w:rFonts w:ascii="Times New Roman" w:hAnsi="Times New Roman" w:cs="Times New Roman"/>
          <w:sz w:val="24"/>
          <w:szCs w:val="24"/>
        </w:rPr>
        <w:br/>
      </w:r>
      <w:r w:rsidR="00AD5FFB" w:rsidRPr="00A10BA7">
        <w:rPr>
          <w:rFonts w:ascii="Times New Roman" w:hAnsi="Times New Roman" w:cs="Times New Roman"/>
          <w:sz w:val="24"/>
          <w:szCs w:val="24"/>
        </w:rPr>
        <w:br/>
      </w:r>
      <w:r w:rsidR="00AD5FFB" w:rsidRPr="00A10BA7">
        <w:rPr>
          <w:rFonts w:ascii="Times New Roman" w:hAnsi="Times New Roman" w:cs="Times New Roman"/>
          <w:sz w:val="24"/>
          <w:szCs w:val="24"/>
        </w:rPr>
        <w:br/>
      </w:r>
      <w:r w:rsidR="00AD5FFB" w:rsidRPr="00A10BA7">
        <w:rPr>
          <w:rFonts w:ascii="Times New Roman" w:hAnsi="Times New Roman" w:cs="Times New Roman"/>
          <w:sz w:val="24"/>
          <w:szCs w:val="24"/>
        </w:rPr>
        <w:br/>
      </w:r>
      <w:r w:rsidR="00AD5FFB" w:rsidRPr="00A10BA7">
        <w:rPr>
          <w:rFonts w:ascii="Times New Roman" w:hAnsi="Times New Roman" w:cs="Times New Roman"/>
          <w:sz w:val="24"/>
          <w:szCs w:val="24"/>
        </w:rPr>
        <w:br/>
      </w:r>
      <w:r w:rsidRPr="00A10BA7">
        <w:rPr>
          <w:rFonts w:ascii="Times New Roman" w:hAnsi="Times New Roman" w:cs="Times New Roman"/>
          <w:sz w:val="24"/>
          <w:szCs w:val="24"/>
          <w:shd w:val="clear" w:color="auto" w:fill="FFFFFF"/>
        </w:rPr>
        <w:lastRenderedPageBreak/>
        <w:t>Utah Criminal Justice Center(</w:t>
      </w:r>
      <w:r w:rsidR="00AD5FFB" w:rsidRPr="00A10BA7">
        <w:rPr>
          <w:rFonts w:ascii="Times New Roman" w:hAnsi="Times New Roman" w:cs="Times New Roman"/>
          <w:sz w:val="24"/>
          <w:szCs w:val="24"/>
          <w:shd w:val="clear" w:color="auto" w:fill="FFFFFF"/>
        </w:rPr>
        <w:t xml:space="preserve"> 2012</w:t>
      </w:r>
      <w:r w:rsidRPr="00A10BA7">
        <w:rPr>
          <w:rFonts w:ascii="Times New Roman" w:hAnsi="Times New Roman" w:cs="Times New Roman"/>
          <w:sz w:val="24"/>
          <w:szCs w:val="24"/>
          <w:shd w:val="clear" w:color="auto" w:fill="FFFFFF"/>
        </w:rPr>
        <w:t>)</w:t>
      </w:r>
      <w:r w:rsidR="00AD5FFB" w:rsidRPr="00A10BA7">
        <w:rPr>
          <w:rFonts w:ascii="Times New Roman" w:hAnsi="Times New Roman" w:cs="Times New Roman"/>
          <w:sz w:val="24"/>
          <w:szCs w:val="24"/>
          <w:shd w:val="clear" w:color="auto" w:fill="FFFFFF"/>
        </w:rPr>
        <w:t>. </w:t>
      </w:r>
      <w:r w:rsidR="00AD5FFB" w:rsidRPr="00A10BA7">
        <w:rPr>
          <w:rStyle w:val="Emphasis"/>
          <w:rFonts w:ascii="Times New Roman" w:hAnsi="Times New Roman" w:cs="Times New Roman"/>
          <w:sz w:val="24"/>
          <w:szCs w:val="24"/>
          <w:shd w:val="clear" w:color="auto" w:fill="FFFFFF"/>
        </w:rPr>
        <w:t>Mental Health Court for Adult Offenders: Technical Report. </w:t>
      </w:r>
      <w:r w:rsidR="00AD5FFB" w:rsidRPr="00A10BA7">
        <w:rPr>
          <w:rFonts w:ascii="Times New Roman" w:hAnsi="Times New Roman" w:cs="Times New Roman"/>
          <w:sz w:val="24"/>
          <w:szCs w:val="24"/>
          <w:shd w:val="clear" w:color="auto" w:fill="FFFFFF"/>
        </w:rPr>
        <w:t>Salt Lake City, Utah: The University of Utah, Utah Criminal Justice Center.</w:t>
      </w:r>
      <w:r w:rsidR="00AD5FFB" w:rsidRPr="00A10BA7">
        <w:rPr>
          <w:rFonts w:ascii="Times New Roman" w:hAnsi="Times New Roman" w:cs="Times New Roman"/>
          <w:sz w:val="24"/>
          <w:szCs w:val="24"/>
        </w:rPr>
        <w:br/>
      </w:r>
      <w:hyperlink r:id="rId10" w:tgtFrame="new" w:tooltip="http://ucjc.utah.edu/wp-content/uploads/Mental-Health-Tech_v03192013.pdf (http://ucjc.utah.edu/wp-content/uploads/Mental-Health-Tech_v03192013.pdf)" w:history="1">
        <w:r w:rsidR="00AD5FFB" w:rsidRPr="00A10BA7">
          <w:rPr>
            <w:rStyle w:val="Hyperlink"/>
            <w:rFonts w:ascii="Times New Roman" w:hAnsi="Times New Roman" w:cs="Times New Roman"/>
            <w:color w:val="auto"/>
            <w:sz w:val="24"/>
            <w:szCs w:val="24"/>
            <w:shd w:val="clear" w:color="auto" w:fill="FFFFFF"/>
          </w:rPr>
          <w:t>http://ucjc.utah.edu/wp-content/uploads/Mental-Health-Tech_v03192013.pdf</w:t>
        </w:r>
      </w:hyperlink>
    </w:p>
    <w:p w:rsidR="002F0585" w:rsidRPr="00A10BA7" w:rsidRDefault="002F0585" w:rsidP="00A10BA7">
      <w:pPr>
        <w:spacing w:line="480" w:lineRule="auto"/>
        <w:ind w:left="720" w:hanging="720"/>
        <w:rPr>
          <w:rFonts w:ascii="Times New Roman" w:hAnsi="Times New Roman" w:cs="Times New Roman"/>
          <w:sz w:val="24"/>
          <w:szCs w:val="24"/>
          <w:shd w:val="clear" w:color="auto" w:fill="FFFFFF"/>
        </w:rPr>
      </w:pPr>
      <w:r w:rsidRPr="00A10BA7">
        <w:rPr>
          <w:rFonts w:ascii="Times New Roman" w:hAnsi="Times New Roman" w:cs="Times New Roman"/>
          <w:sz w:val="24"/>
          <w:szCs w:val="24"/>
          <w:shd w:val="clear" w:color="auto" w:fill="FFFFFF"/>
        </w:rPr>
        <w:t>Wolff, N., Fabrikant, N., &amp; Belenko, S. (2011). Mental health courts and their selection processes: Modeling variation for consistency. </w:t>
      </w:r>
      <w:r w:rsidRPr="00A10BA7">
        <w:rPr>
          <w:rFonts w:ascii="Times New Roman" w:hAnsi="Times New Roman" w:cs="Times New Roman"/>
          <w:i/>
          <w:iCs/>
          <w:sz w:val="24"/>
          <w:szCs w:val="24"/>
          <w:shd w:val="clear" w:color="auto" w:fill="FFFFFF"/>
        </w:rPr>
        <w:t>Law and Human Behavior</w:t>
      </w:r>
      <w:r w:rsidRPr="00A10BA7">
        <w:rPr>
          <w:rFonts w:ascii="Times New Roman" w:hAnsi="Times New Roman" w:cs="Times New Roman"/>
          <w:sz w:val="24"/>
          <w:szCs w:val="24"/>
          <w:shd w:val="clear" w:color="auto" w:fill="FFFFFF"/>
        </w:rPr>
        <w:t>, </w:t>
      </w:r>
      <w:r w:rsidRPr="00A10BA7">
        <w:rPr>
          <w:rFonts w:ascii="Times New Roman" w:hAnsi="Times New Roman" w:cs="Times New Roman"/>
          <w:i/>
          <w:iCs/>
          <w:sz w:val="24"/>
          <w:szCs w:val="24"/>
          <w:shd w:val="clear" w:color="auto" w:fill="FFFFFF"/>
        </w:rPr>
        <w:t>35</w:t>
      </w:r>
      <w:r w:rsidRPr="00A10BA7">
        <w:rPr>
          <w:rFonts w:ascii="Times New Roman" w:hAnsi="Times New Roman" w:cs="Times New Roman"/>
          <w:sz w:val="24"/>
          <w:szCs w:val="24"/>
          <w:shd w:val="clear" w:color="auto" w:fill="FFFFFF"/>
        </w:rPr>
        <w:t>(5), 402-412.</w:t>
      </w:r>
    </w:p>
    <w:p w:rsidR="000527C9" w:rsidRPr="00A10BA7" w:rsidRDefault="000527C9" w:rsidP="00A10BA7">
      <w:pPr>
        <w:spacing w:line="480" w:lineRule="auto"/>
        <w:rPr>
          <w:rFonts w:ascii="Times New Roman" w:hAnsi="Times New Roman" w:cs="Times New Roman"/>
          <w:sz w:val="24"/>
          <w:szCs w:val="24"/>
        </w:rPr>
      </w:pPr>
    </w:p>
    <w:sectPr w:rsidR="000527C9" w:rsidRPr="00A10BA7" w:rsidSect="001966C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09E" w:rsidRDefault="001C309E" w:rsidP="001966CF">
      <w:pPr>
        <w:spacing w:after="0" w:line="240" w:lineRule="auto"/>
      </w:pPr>
      <w:r>
        <w:separator/>
      </w:r>
    </w:p>
  </w:endnote>
  <w:endnote w:type="continuationSeparator" w:id="0">
    <w:p w:rsidR="001C309E" w:rsidRDefault="001C309E" w:rsidP="00196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09E" w:rsidRDefault="001C309E" w:rsidP="001966CF">
      <w:pPr>
        <w:spacing w:after="0" w:line="240" w:lineRule="auto"/>
      </w:pPr>
      <w:r>
        <w:separator/>
      </w:r>
    </w:p>
  </w:footnote>
  <w:footnote w:type="continuationSeparator" w:id="0">
    <w:p w:rsidR="001C309E" w:rsidRDefault="001C309E" w:rsidP="00196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6CF" w:rsidRPr="003B41BD" w:rsidRDefault="003B41BD">
    <w:pPr>
      <w:pStyle w:val="Header"/>
      <w:jc w:val="right"/>
      <w:rPr>
        <w:rFonts w:ascii="Times New Roman" w:hAnsi="Times New Roman" w:cs="Times New Roman"/>
        <w:sz w:val="24"/>
        <w:szCs w:val="24"/>
      </w:rPr>
    </w:pPr>
    <w:r w:rsidRPr="003B41BD">
      <w:rPr>
        <w:rFonts w:ascii="Times New Roman" w:hAnsi="Times New Roman" w:cs="Times New Roman"/>
        <w:sz w:val="24"/>
        <w:szCs w:val="24"/>
      </w:rPr>
      <w:t xml:space="preserve">EFFECTIVENESS OF MENTAL HEALTH COURTS </w:t>
    </w:r>
    <w:r w:rsidRPr="003B41BD">
      <w:rPr>
        <w:rFonts w:ascii="Times New Roman" w:hAnsi="Times New Roman" w:cs="Times New Roman"/>
        <w:sz w:val="24"/>
        <w:szCs w:val="24"/>
      </w:rPr>
      <w:tab/>
    </w:r>
    <w:r w:rsidRPr="003B41BD">
      <w:rPr>
        <w:rFonts w:ascii="Times New Roman" w:hAnsi="Times New Roman" w:cs="Times New Roman"/>
        <w:sz w:val="24"/>
        <w:szCs w:val="24"/>
      </w:rPr>
      <w:tab/>
    </w:r>
    <w:sdt>
      <w:sdtPr>
        <w:rPr>
          <w:rFonts w:ascii="Times New Roman" w:hAnsi="Times New Roman" w:cs="Times New Roman"/>
          <w:sz w:val="24"/>
          <w:szCs w:val="24"/>
        </w:rPr>
        <w:id w:val="13593491"/>
        <w:docPartObj>
          <w:docPartGallery w:val="Page Numbers (Top of Page)"/>
          <w:docPartUnique/>
        </w:docPartObj>
      </w:sdtPr>
      <w:sdtEndPr/>
      <w:sdtContent>
        <w:r w:rsidR="001C309E" w:rsidRPr="003B41BD">
          <w:rPr>
            <w:rFonts w:ascii="Times New Roman" w:hAnsi="Times New Roman" w:cs="Times New Roman"/>
            <w:sz w:val="24"/>
            <w:szCs w:val="24"/>
          </w:rPr>
          <w:fldChar w:fldCharType="begin"/>
        </w:r>
        <w:r w:rsidR="001C309E" w:rsidRPr="003B41BD">
          <w:rPr>
            <w:rFonts w:ascii="Times New Roman" w:hAnsi="Times New Roman" w:cs="Times New Roman"/>
            <w:sz w:val="24"/>
            <w:szCs w:val="24"/>
          </w:rPr>
          <w:instrText xml:space="preserve"> PAGE   \* MERGEFORMAT </w:instrText>
        </w:r>
        <w:r w:rsidR="001C309E" w:rsidRPr="003B41BD">
          <w:rPr>
            <w:rFonts w:ascii="Times New Roman" w:hAnsi="Times New Roman" w:cs="Times New Roman"/>
            <w:sz w:val="24"/>
            <w:szCs w:val="24"/>
          </w:rPr>
          <w:fldChar w:fldCharType="separate"/>
        </w:r>
        <w:r>
          <w:rPr>
            <w:rFonts w:ascii="Times New Roman" w:hAnsi="Times New Roman" w:cs="Times New Roman"/>
            <w:noProof/>
            <w:sz w:val="24"/>
            <w:szCs w:val="24"/>
          </w:rPr>
          <w:t>2</w:t>
        </w:r>
        <w:r w:rsidR="001C309E" w:rsidRPr="003B41BD">
          <w:rPr>
            <w:rFonts w:ascii="Times New Roman" w:hAnsi="Times New Roman" w:cs="Times New Roman"/>
            <w:noProof/>
            <w:sz w:val="24"/>
            <w:szCs w:val="24"/>
          </w:rPr>
          <w:fldChar w:fldCharType="end"/>
        </w:r>
      </w:sdtContent>
    </w:sdt>
  </w:p>
  <w:p w:rsidR="001966CF" w:rsidRDefault="001966C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6CF" w:rsidRPr="001966CF" w:rsidRDefault="003B41BD">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1966CF">
      <w:rPr>
        <w:rFonts w:ascii="Times New Roman" w:hAnsi="Times New Roman" w:cs="Times New Roman"/>
        <w:sz w:val="24"/>
        <w:szCs w:val="24"/>
      </w:rPr>
      <w:t>MENTAL HEALTH COURTS</w:t>
    </w:r>
    <w:r w:rsidR="001966CF" w:rsidRPr="001966CF">
      <w:rPr>
        <w:rFonts w:ascii="Times New Roman" w:hAnsi="Times New Roman" w:cs="Times New Roman"/>
        <w:sz w:val="24"/>
        <w:szCs w:val="24"/>
      </w:rPr>
      <w:tab/>
    </w:r>
    <w:r w:rsidR="001966CF" w:rsidRPr="001966CF">
      <w:rPr>
        <w:rFonts w:ascii="Times New Roman" w:hAnsi="Times New Roman" w:cs="Times New Roman"/>
        <w:sz w:val="24"/>
        <w:szCs w:val="24"/>
      </w:rPr>
      <w:tab/>
    </w:r>
    <w:sdt>
      <w:sdtPr>
        <w:rPr>
          <w:rFonts w:ascii="Times New Roman" w:hAnsi="Times New Roman" w:cs="Times New Roman"/>
          <w:sz w:val="24"/>
          <w:szCs w:val="24"/>
        </w:rPr>
        <w:id w:val="13593538"/>
        <w:docPartObj>
          <w:docPartGallery w:val="Page Numbers (Top of Page)"/>
          <w:docPartUnique/>
        </w:docPartObj>
      </w:sdtPr>
      <w:sdtEndPr/>
      <w:sdtContent>
        <w:r w:rsidR="001966CF" w:rsidRPr="001966CF">
          <w:rPr>
            <w:rFonts w:ascii="Times New Roman" w:hAnsi="Times New Roman" w:cs="Times New Roman"/>
            <w:sz w:val="24"/>
            <w:szCs w:val="24"/>
          </w:rPr>
          <w:fldChar w:fldCharType="begin"/>
        </w:r>
        <w:r w:rsidR="001966CF" w:rsidRPr="001966CF">
          <w:rPr>
            <w:rFonts w:ascii="Times New Roman" w:hAnsi="Times New Roman" w:cs="Times New Roman"/>
            <w:sz w:val="24"/>
            <w:szCs w:val="24"/>
          </w:rPr>
          <w:instrText xml:space="preserve"> PAGE   \* MERGEFORMAT </w:instrText>
        </w:r>
        <w:r w:rsidR="001966CF" w:rsidRPr="001966CF">
          <w:rPr>
            <w:rFonts w:ascii="Times New Roman" w:hAnsi="Times New Roman" w:cs="Times New Roman"/>
            <w:sz w:val="24"/>
            <w:szCs w:val="24"/>
          </w:rPr>
          <w:fldChar w:fldCharType="separate"/>
        </w:r>
        <w:r>
          <w:rPr>
            <w:rFonts w:ascii="Times New Roman" w:hAnsi="Times New Roman" w:cs="Times New Roman"/>
            <w:noProof/>
            <w:sz w:val="24"/>
            <w:szCs w:val="24"/>
          </w:rPr>
          <w:t>1</w:t>
        </w:r>
        <w:r w:rsidR="001966CF" w:rsidRPr="001966CF">
          <w:rPr>
            <w:rFonts w:ascii="Times New Roman" w:hAnsi="Times New Roman" w:cs="Times New Roman"/>
            <w:sz w:val="24"/>
            <w:szCs w:val="24"/>
          </w:rPr>
          <w:fldChar w:fldCharType="end"/>
        </w:r>
      </w:sdtContent>
    </w:sdt>
  </w:p>
  <w:p w:rsidR="001966CF" w:rsidRDefault="001966C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257BF"/>
    <w:multiLevelType w:val="multilevel"/>
    <w:tmpl w:val="78C48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3467B4"/>
    <w:multiLevelType w:val="multilevel"/>
    <w:tmpl w:val="414A3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BB8"/>
    <w:rsid w:val="000212E0"/>
    <w:rsid w:val="000374F2"/>
    <w:rsid w:val="000527C9"/>
    <w:rsid w:val="00071310"/>
    <w:rsid w:val="000A4009"/>
    <w:rsid w:val="000E5593"/>
    <w:rsid w:val="000F210D"/>
    <w:rsid w:val="001079B1"/>
    <w:rsid w:val="00130766"/>
    <w:rsid w:val="00171120"/>
    <w:rsid w:val="0018743F"/>
    <w:rsid w:val="001966CF"/>
    <w:rsid w:val="001A34FD"/>
    <w:rsid w:val="001C309E"/>
    <w:rsid w:val="001E765C"/>
    <w:rsid w:val="001F6852"/>
    <w:rsid w:val="001F7BB8"/>
    <w:rsid w:val="00232B0A"/>
    <w:rsid w:val="00273979"/>
    <w:rsid w:val="002A27E7"/>
    <w:rsid w:val="002C3F8E"/>
    <w:rsid w:val="002D2BDC"/>
    <w:rsid w:val="002E4050"/>
    <w:rsid w:val="002E4FCB"/>
    <w:rsid w:val="002F0585"/>
    <w:rsid w:val="00305233"/>
    <w:rsid w:val="00335BC6"/>
    <w:rsid w:val="00380E67"/>
    <w:rsid w:val="003B41BD"/>
    <w:rsid w:val="003B7511"/>
    <w:rsid w:val="00430181"/>
    <w:rsid w:val="00440BEA"/>
    <w:rsid w:val="00473C0D"/>
    <w:rsid w:val="004A467A"/>
    <w:rsid w:val="004E62AA"/>
    <w:rsid w:val="00517669"/>
    <w:rsid w:val="00544B4C"/>
    <w:rsid w:val="00571605"/>
    <w:rsid w:val="005B6F65"/>
    <w:rsid w:val="005F6233"/>
    <w:rsid w:val="00613D79"/>
    <w:rsid w:val="00627F4A"/>
    <w:rsid w:val="006375FA"/>
    <w:rsid w:val="0067035F"/>
    <w:rsid w:val="0069656A"/>
    <w:rsid w:val="006A3A9F"/>
    <w:rsid w:val="006B15BF"/>
    <w:rsid w:val="006B7F12"/>
    <w:rsid w:val="006D0764"/>
    <w:rsid w:val="006D0C8B"/>
    <w:rsid w:val="0071598D"/>
    <w:rsid w:val="00715990"/>
    <w:rsid w:val="00750355"/>
    <w:rsid w:val="00774554"/>
    <w:rsid w:val="00784813"/>
    <w:rsid w:val="00793A84"/>
    <w:rsid w:val="008110CC"/>
    <w:rsid w:val="0082068D"/>
    <w:rsid w:val="00835A5F"/>
    <w:rsid w:val="00875A31"/>
    <w:rsid w:val="008C38B2"/>
    <w:rsid w:val="009159ED"/>
    <w:rsid w:val="00936E91"/>
    <w:rsid w:val="00955BC3"/>
    <w:rsid w:val="00975A10"/>
    <w:rsid w:val="00983F99"/>
    <w:rsid w:val="009972FD"/>
    <w:rsid w:val="009B20FA"/>
    <w:rsid w:val="009E1E2D"/>
    <w:rsid w:val="009E21DB"/>
    <w:rsid w:val="00A10BA7"/>
    <w:rsid w:val="00A55C6F"/>
    <w:rsid w:val="00A5721F"/>
    <w:rsid w:val="00AD57AC"/>
    <w:rsid w:val="00AD5FFB"/>
    <w:rsid w:val="00AF58E6"/>
    <w:rsid w:val="00AF7BC1"/>
    <w:rsid w:val="00B43E1F"/>
    <w:rsid w:val="00B56FA7"/>
    <w:rsid w:val="00B63A81"/>
    <w:rsid w:val="00B90E08"/>
    <w:rsid w:val="00BB709C"/>
    <w:rsid w:val="00BC5E38"/>
    <w:rsid w:val="00BD1B26"/>
    <w:rsid w:val="00BD6666"/>
    <w:rsid w:val="00BF42DA"/>
    <w:rsid w:val="00C1213A"/>
    <w:rsid w:val="00C3553F"/>
    <w:rsid w:val="00C44F63"/>
    <w:rsid w:val="00C95324"/>
    <w:rsid w:val="00CD0741"/>
    <w:rsid w:val="00D00FFE"/>
    <w:rsid w:val="00D04061"/>
    <w:rsid w:val="00D074BD"/>
    <w:rsid w:val="00D3311A"/>
    <w:rsid w:val="00D64B6D"/>
    <w:rsid w:val="00DD1644"/>
    <w:rsid w:val="00E16134"/>
    <w:rsid w:val="00E30A78"/>
    <w:rsid w:val="00E8334B"/>
    <w:rsid w:val="00E84E76"/>
    <w:rsid w:val="00EB3CF4"/>
    <w:rsid w:val="00ED08B3"/>
    <w:rsid w:val="00ED24EF"/>
    <w:rsid w:val="00EE5F97"/>
    <w:rsid w:val="00F7432F"/>
    <w:rsid w:val="00F74627"/>
    <w:rsid w:val="00FC0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1865D"/>
  <w15:docId w15:val="{C60654AE-8E6A-49D0-85B6-89330A779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4B4C"/>
  </w:style>
  <w:style w:type="paragraph" w:styleId="Heading1">
    <w:name w:val="heading 1"/>
    <w:basedOn w:val="Normal"/>
    <w:link w:val="Heading1Char"/>
    <w:uiPriority w:val="9"/>
    <w:qFormat/>
    <w:rsid w:val="0013076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5A1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75A10"/>
    <w:rPr>
      <w:color w:val="0000FF"/>
      <w:u w:val="single"/>
    </w:rPr>
  </w:style>
  <w:style w:type="character" w:styleId="Strong">
    <w:name w:val="Strong"/>
    <w:basedOn w:val="DefaultParagraphFont"/>
    <w:uiPriority w:val="22"/>
    <w:qFormat/>
    <w:rsid w:val="00AD5FFB"/>
    <w:rPr>
      <w:b/>
      <w:bCs/>
    </w:rPr>
  </w:style>
  <w:style w:type="character" w:styleId="Emphasis">
    <w:name w:val="Emphasis"/>
    <w:basedOn w:val="DefaultParagraphFont"/>
    <w:uiPriority w:val="20"/>
    <w:qFormat/>
    <w:rsid w:val="00AD5FFB"/>
    <w:rPr>
      <w:i/>
      <w:iCs/>
    </w:rPr>
  </w:style>
  <w:style w:type="character" w:customStyle="1" w:styleId="Heading1Char">
    <w:name w:val="Heading 1 Char"/>
    <w:basedOn w:val="DefaultParagraphFont"/>
    <w:link w:val="Heading1"/>
    <w:uiPriority w:val="9"/>
    <w:rsid w:val="00130766"/>
    <w:rPr>
      <w:rFonts w:ascii="Times New Roman" w:eastAsia="Times New Roman" w:hAnsi="Times New Roman" w:cs="Times New Roman"/>
      <w:b/>
      <w:bCs/>
      <w:kern w:val="36"/>
      <w:sz w:val="48"/>
      <w:szCs w:val="48"/>
    </w:rPr>
  </w:style>
  <w:style w:type="character" w:customStyle="1" w:styleId="epub-sectionitem">
    <w:name w:val="epub-section__item"/>
    <w:basedOn w:val="DefaultParagraphFont"/>
    <w:rsid w:val="000527C9"/>
  </w:style>
  <w:style w:type="character" w:customStyle="1" w:styleId="epub-sectionstate">
    <w:name w:val="epub-section__state"/>
    <w:basedOn w:val="DefaultParagraphFont"/>
    <w:rsid w:val="000527C9"/>
  </w:style>
  <w:style w:type="character" w:customStyle="1" w:styleId="epub-sectiondate">
    <w:name w:val="epub-section__date"/>
    <w:basedOn w:val="DefaultParagraphFont"/>
    <w:rsid w:val="000527C9"/>
  </w:style>
  <w:style w:type="paragraph" w:styleId="Header">
    <w:name w:val="header"/>
    <w:basedOn w:val="Normal"/>
    <w:link w:val="HeaderChar"/>
    <w:uiPriority w:val="99"/>
    <w:unhideWhenUsed/>
    <w:rsid w:val="00196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6CF"/>
  </w:style>
  <w:style w:type="paragraph" w:styleId="Footer">
    <w:name w:val="footer"/>
    <w:basedOn w:val="Normal"/>
    <w:link w:val="FooterChar"/>
    <w:uiPriority w:val="99"/>
    <w:unhideWhenUsed/>
    <w:rsid w:val="00196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983253">
      <w:bodyDiv w:val="1"/>
      <w:marLeft w:val="0"/>
      <w:marRight w:val="0"/>
      <w:marTop w:val="0"/>
      <w:marBottom w:val="0"/>
      <w:divBdr>
        <w:top w:val="none" w:sz="0" w:space="0" w:color="auto"/>
        <w:left w:val="none" w:sz="0" w:space="0" w:color="auto"/>
        <w:bottom w:val="none" w:sz="0" w:space="0" w:color="auto"/>
        <w:right w:val="none" w:sz="0" w:space="0" w:color="auto"/>
      </w:divBdr>
    </w:div>
    <w:div w:id="655451387">
      <w:bodyDiv w:val="1"/>
      <w:marLeft w:val="0"/>
      <w:marRight w:val="0"/>
      <w:marTop w:val="0"/>
      <w:marBottom w:val="0"/>
      <w:divBdr>
        <w:top w:val="none" w:sz="0" w:space="0" w:color="auto"/>
        <w:left w:val="none" w:sz="0" w:space="0" w:color="auto"/>
        <w:bottom w:val="none" w:sz="0" w:space="0" w:color="auto"/>
        <w:right w:val="none" w:sz="0" w:space="0" w:color="auto"/>
      </w:divBdr>
      <w:divsChild>
        <w:div w:id="2126191986">
          <w:marLeft w:val="0"/>
          <w:marRight w:val="0"/>
          <w:marTop w:val="166"/>
          <w:marBottom w:val="166"/>
          <w:divBdr>
            <w:top w:val="none" w:sz="0" w:space="0" w:color="auto"/>
            <w:left w:val="none" w:sz="0" w:space="0" w:color="auto"/>
            <w:bottom w:val="none" w:sz="0" w:space="0" w:color="auto"/>
            <w:right w:val="none" w:sz="0" w:space="0" w:color="auto"/>
          </w:divBdr>
          <w:divsChild>
            <w:div w:id="54218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181384">
      <w:bodyDiv w:val="1"/>
      <w:marLeft w:val="0"/>
      <w:marRight w:val="0"/>
      <w:marTop w:val="0"/>
      <w:marBottom w:val="0"/>
      <w:divBdr>
        <w:top w:val="none" w:sz="0" w:space="0" w:color="auto"/>
        <w:left w:val="none" w:sz="0" w:space="0" w:color="auto"/>
        <w:bottom w:val="none" w:sz="0" w:space="0" w:color="auto"/>
        <w:right w:val="none" w:sz="0" w:space="0" w:color="auto"/>
      </w:divBdr>
    </w:div>
    <w:div w:id="719088746">
      <w:bodyDiv w:val="1"/>
      <w:marLeft w:val="0"/>
      <w:marRight w:val="0"/>
      <w:marTop w:val="0"/>
      <w:marBottom w:val="0"/>
      <w:divBdr>
        <w:top w:val="none" w:sz="0" w:space="0" w:color="auto"/>
        <w:left w:val="none" w:sz="0" w:space="0" w:color="auto"/>
        <w:bottom w:val="none" w:sz="0" w:space="0" w:color="auto"/>
        <w:right w:val="none" w:sz="0" w:space="0" w:color="auto"/>
      </w:divBdr>
    </w:div>
    <w:div w:id="737244043">
      <w:bodyDiv w:val="1"/>
      <w:marLeft w:val="0"/>
      <w:marRight w:val="0"/>
      <w:marTop w:val="0"/>
      <w:marBottom w:val="0"/>
      <w:divBdr>
        <w:top w:val="none" w:sz="0" w:space="0" w:color="auto"/>
        <w:left w:val="none" w:sz="0" w:space="0" w:color="auto"/>
        <w:bottom w:val="none" w:sz="0" w:space="0" w:color="auto"/>
        <w:right w:val="none" w:sz="0" w:space="0" w:color="auto"/>
      </w:divBdr>
    </w:div>
    <w:div w:id="1036392513">
      <w:bodyDiv w:val="1"/>
      <w:marLeft w:val="0"/>
      <w:marRight w:val="0"/>
      <w:marTop w:val="0"/>
      <w:marBottom w:val="0"/>
      <w:divBdr>
        <w:top w:val="none" w:sz="0" w:space="0" w:color="auto"/>
        <w:left w:val="none" w:sz="0" w:space="0" w:color="auto"/>
        <w:bottom w:val="none" w:sz="0" w:space="0" w:color="auto"/>
        <w:right w:val="none" w:sz="0" w:space="0" w:color="auto"/>
      </w:divBdr>
    </w:div>
    <w:div w:id="1610552181">
      <w:bodyDiv w:val="1"/>
      <w:marLeft w:val="0"/>
      <w:marRight w:val="0"/>
      <w:marTop w:val="0"/>
      <w:marBottom w:val="0"/>
      <w:divBdr>
        <w:top w:val="none" w:sz="0" w:space="0" w:color="auto"/>
        <w:left w:val="none" w:sz="0" w:space="0" w:color="auto"/>
        <w:bottom w:val="none" w:sz="0" w:space="0" w:color="auto"/>
        <w:right w:val="none" w:sz="0" w:space="0" w:color="auto"/>
      </w:divBdr>
      <w:divsChild>
        <w:div w:id="817838512">
          <w:marLeft w:val="0"/>
          <w:marRight w:val="0"/>
          <w:marTop w:val="0"/>
          <w:marBottom w:val="0"/>
          <w:divBdr>
            <w:top w:val="none" w:sz="0" w:space="0" w:color="auto"/>
            <w:left w:val="none" w:sz="0" w:space="0" w:color="auto"/>
            <w:bottom w:val="none" w:sz="0" w:space="0" w:color="auto"/>
            <w:right w:val="none" w:sz="0" w:space="0" w:color="auto"/>
          </w:divBdr>
          <w:divsChild>
            <w:div w:id="1593394265">
              <w:marLeft w:val="0"/>
              <w:marRight w:val="0"/>
              <w:marTop w:val="0"/>
              <w:marBottom w:val="120"/>
              <w:divBdr>
                <w:top w:val="none" w:sz="0" w:space="0" w:color="auto"/>
                <w:left w:val="none" w:sz="0" w:space="0" w:color="auto"/>
                <w:bottom w:val="none" w:sz="0" w:space="0" w:color="auto"/>
                <w:right w:val="none" w:sz="0" w:space="0" w:color="auto"/>
              </w:divBdr>
              <w:divsChild>
                <w:div w:id="1017922370">
                  <w:marLeft w:val="0"/>
                  <w:marRight w:val="0"/>
                  <w:marTop w:val="0"/>
                  <w:marBottom w:val="0"/>
                  <w:divBdr>
                    <w:top w:val="none" w:sz="0" w:space="0" w:color="auto"/>
                    <w:left w:val="none" w:sz="0" w:space="0" w:color="auto"/>
                    <w:bottom w:val="none" w:sz="0" w:space="0" w:color="auto"/>
                    <w:right w:val="none" w:sz="0" w:space="0" w:color="auto"/>
                  </w:divBdr>
                  <w:divsChild>
                    <w:div w:id="1358581987">
                      <w:marLeft w:val="0"/>
                      <w:marRight w:val="0"/>
                      <w:marTop w:val="0"/>
                      <w:marBottom w:val="0"/>
                      <w:divBdr>
                        <w:top w:val="none" w:sz="0" w:space="0" w:color="auto"/>
                        <w:left w:val="none" w:sz="0" w:space="0" w:color="auto"/>
                        <w:bottom w:val="none" w:sz="0" w:space="0" w:color="auto"/>
                        <w:right w:val="none" w:sz="0" w:space="0" w:color="auto"/>
                      </w:divBdr>
                      <w:divsChild>
                        <w:div w:id="2105035101">
                          <w:marLeft w:val="0"/>
                          <w:marRight w:val="0"/>
                          <w:marTop w:val="0"/>
                          <w:marBottom w:val="0"/>
                          <w:divBdr>
                            <w:top w:val="none" w:sz="0" w:space="0" w:color="auto"/>
                            <w:left w:val="none" w:sz="0" w:space="0" w:color="auto"/>
                            <w:bottom w:val="none" w:sz="0" w:space="0" w:color="auto"/>
                            <w:right w:val="none" w:sz="0" w:space="0" w:color="auto"/>
                          </w:divBdr>
                        </w:div>
                        <w:div w:id="283926287">
                          <w:marLeft w:val="0"/>
                          <w:marRight w:val="0"/>
                          <w:marTop w:val="0"/>
                          <w:marBottom w:val="0"/>
                          <w:divBdr>
                            <w:top w:val="none" w:sz="0" w:space="0" w:color="auto"/>
                            <w:left w:val="none" w:sz="0" w:space="0" w:color="auto"/>
                            <w:bottom w:val="none" w:sz="0" w:space="0" w:color="auto"/>
                            <w:right w:val="none" w:sz="0" w:space="0" w:color="auto"/>
                          </w:divBdr>
                        </w:div>
                        <w:div w:id="175139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089852">
          <w:marLeft w:val="0"/>
          <w:marRight w:val="0"/>
          <w:marTop w:val="225"/>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holarcommons.usf.edu/cgi/viewcontent.cgi?article=4247&amp;context=et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azelon.org/our-work/criminal-justice-2/mental-health-court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ucjc.utah.edu/wp-content/uploads/Mental-Health-Tech_v03192013.pdf" TargetMode="External"/><Relationship Id="rId4" Type="http://schemas.openxmlformats.org/officeDocument/2006/relationships/webSettings" Target="webSettings.xml"/><Relationship Id="rId9" Type="http://schemas.openxmlformats.org/officeDocument/2006/relationships/hyperlink" Target="http://www.wsipp.wa.gov/ReportFile/1102/Wsipp_Return-on-Investment-Evidence-Based-Options-to-Improve-Statewide-Outcomes-April-2012-Update_Full-Report.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1818</Words>
  <Characters>10364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2019-04-25T20:40:00Z</dcterms:created>
  <dcterms:modified xsi:type="dcterms:W3CDTF">2019-04-25T20:40:00Z</dcterms:modified>
</cp:coreProperties>
</file>